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p w:rsidR="1290540A" w:rsidP="1290540A" w:rsidRDefault="1290540A" w14:paraId="076281A0" w14:textId="23F29DAC">
      <w:pPr>
        <w:pStyle w:val="Normal"/>
        <w:bidi w:val="0"/>
        <w:spacing w:before="100" w:beforeAutospacing="off" w:after="100" w:afterAutospacing="off" w:line="259" w:lineRule="auto"/>
        <w:ind w:left="0" w:right="0"/>
        <w:jc w:val="left"/>
        <w:rPr>
          <w:rFonts w:ascii="Calibri" w:hAnsi="Calibri" w:cs="Arial" w:asciiTheme="minorAscii" w:hAnsiTheme="minorAsci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41"/>
      </w:tblGrid>
      <w:tr w:rsidRPr="0030755C" w:rsidR="00693274" w:rsidTr="1290540A" w14:paraId="62C7C802" w14:textId="77777777">
        <w:trPr>
          <w:tblHeader/>
          <w:jc w:val="center"/>
        </w:trPr>
        <w:tc>
          <w:tcPr>
            <w:tcW w:w="8541" w:type="dxa"/>
            <w:tcBorders>
              <w:bottom w:val="single" w:color="FFFFFF" w:themeColor="background1" w:sz="24" w:space="0"/>
            </w:tcBorders>
            <w:shd w:val="clear" w:color="auto" w:fill="auto"/>
            <w:tcMar/>
            <w:vAlign w:val="center"/>
          </w:tcPr>
          <w:p w:rsidRPr="0030755C" w:rsidR="00693274" w:rsidP="00A47FA7" w:rsidRDefault="00693274" w14:paraId="0AD0005A" w14:textId="77777777">
            <w:pPr>
              <w:widowControl w:val="0"/>
              <w:spacing w:before="100" w:after="100"/>
              <w:rPr>
                <w:rFonts w:cs="Arial" w:asciiTheme="minorHAnsi" w:hAnsiTheme="minorHAnsi"/>
                <w:b/>
                <w:i/>
                <w:color w:val="3366FF"/>
                <w:sz w:val="2"/>
                <w:szCs w:val="2"/>
              </w:rPr>
            </w:pPr>
            <w:r w:rsidRPr="0030755C">
              <w:rPr>
                <w:rFonts w:cs="Arial" w:asciiTheme="minorHAnsi" w:hAnsiTheme="minorHAnsi"/>
                <w:b/>
                <w:i/>
                <w:noProof/>
                <w:color w:val="3366FF"/>
              </w:rPr>
              <w:drawing>
                <wp:anchor distT="0" distB="0" distL="114300" distR="114300" simplePos="0" relativeHeight="251659264" behindDoc="0" locked="0" layoutInCell="1" allowOverlap="1" wp14:anchorId="23CD2C3C" wp14:editId="1126BF8F">
                  <wp:simplePos x="0" y="0"/>
                  <wp:positionH relativeFrom="column">
                    <wp:posOffset>-659765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290540A" w:rsidR="00693274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color w:val="3366FF"/>
              </w:rPr>
              <w:t xml:space="preserve">   </w:t>
            </w:r>
          </w:p>
          <w:p w:rsidRPr="0030755C" w:rsidR="00693274" w:rsidP="00A47FA7" w:rsidRDefault="00693274" w14:paraId="68AA27DA" w14:textId="382C6DDF">
            <w:pPr>
              <w:widowControl w:val="0"/>
              <w:spacing w:before="100" w:after="100"/>
              <w:rPr>
                <w:rFonts w:cs="Arial" w:asciiTheme="minorHAnsi" w:hAnsiTheme="minorHAnsi"/>
                <w:color w:val="3366FF"/>
                <w:sz w:val="32"/>
                <w:szCs w:val="32"/>
              </w:rPr>
            </w:pPr>
            <w:r w:rsidRPr="0030755C">
              <w:rPr>
                <w:rFonts w:cs="Arial" w:asciiTheme="minorHAnsi" w:hAnsiTheme="minorHAnsi"/>
                <w:b/>
                <w:color w:val="3366FF"/>
                <w:sz w:val="32"/>
                <w:szCs w:val="32"/>
              </w:rPr>
              <w:t xml:space="preserve">ACTIVITY: Expectation Violations </w:t>
            </w:r>
            <w:r>
              <w:rPr>
                <w:rFonts w:cs="Arial" w:asciiTheme="minorHAnsi" w:hAnsiTheme="minorHAnsi"/>
                <w:b/>
                <w:color w:val="3366FF"/>
                <w:sz w:val="32"/>
                <w:szCs w:val="32"/>
              </w:rPr>
              <w:t>– Behavior Definitions</w:t>
            </w:r>
          </w:p>
        </w:tc>
      </w:tr>
      <w:tr w:rsidRPr="0030755C" w:rsidR="00693274" w:rsidTr="1290540A" w14:paraId="2D4FC5F4" w14:textId="77777777">
        <w:trPr>
          <w:jc w:val="center"/>
        </w:trPr>
        <w:tc>
          <w:tcPr>
            <w:tcW w:w="8541" w:type="dxa"/>
            <w:tcBorders>
              <w:top w:val="single" w:color="FFFFFF" w:themeColor="background1" w:sz="24" w:space="0"/>
            </w:tcBorders>
            <w:tcMar/>
          </w:tcPr>
          <w:p w:rsidRPr="0030755C" w:rsidR="00693274" w:rsidP="00A47FA7" w:rsidRDefault="00693274" w14:paraId="2550F18F" w14:textId="77777777">
            <w:pPr>
              <w:widowControl w:val="0"/>
              <w:spacing w:before="100" w:after="100"/>
              <w:rPr>
                <w:rFonts w:cs="Arial" w:asciiTheme="minorHAnsi" w:hAnsiTheme="minorHAnsi"/>
                <w:i/>
                <w:color w:val="3366FF"/>
              </w:rPr>
            </w:pPr>
            <w:r w:rsidRPr="0030755C">
              <w:rPr>
                <w:rFonts w:cs="Arial" w:asciiTheme="minorHAnsi" w:hAnsiTheme="minorHAnsi"/>
                <w:i/>
                <w:color w:val="3366FF"/>
              </w:rPr>
              <w:t>Complete the following worksheet</w:t>
            </w:r>
            <w:r>
              <w:rPr>
                <w:rFonts w:cs="Arial" w:asciiTheme="minorHAnsi" w:hAnsiTheme="minorHAnsi"/>
                <w:i/>
                <w:color w:val="3366FF"/>
              </w:rPr>
              <w:t>s</w:t>
            </w:r>
            <w:r w:rsidRPr="0030755C">
              <w:rPr>
                <w:rFonts w:cs="Arial" w:asciiTheme="minorHAnsi" w:hAnsiTheme="minorHAnsi"/>
                <w:i/>
                <w:color w:val="3366FF"/>
              </w:rPr>
              <w:t xml:space="preserve"> to design a school-wide approach to responding to expectation-violating student behavior.</w:t>
            </w:r>
          </w:p>
        </w:tc>
      </w:tr>
    </w:tbl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Pr="0030755C" w:rsidR="00693274" w:rsidTr="1290540A" w14:paraId="075C0584" w14:textId="77777777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  <w:tcMar/>
          </w:tcPr>
          <w:p w:rsidRPr="0030755C" w:rsidR="00693274" w:rsidP="1290540A" w:rsidRDefault="00693274" w14:paraId="6869F4A9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</w:p>
          <w:p w:rsidRPr="0030755C" w:rsidR="00693274" w:rsidP="1290540A" w:rsidRDefault="00693274" w14:paraId="1585CF63" w14:textId="77777777" w14:noSpellErr="1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outlineLvl w:val="7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 xml:space="preserve">Specify </w:t>
            </w:r>
            <w:r w:rsidRPr="1290540A" w:rsidR="00693274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u w:val="single"/>
              </w:rPr>
              <w:t>Definitions</w:t>
            </w: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 xml:space="preserve"> for Violations of SW Expectations</w:t>
            </w:r>
          </w:p>
          <w:p w:rsidRPr="0030755C" w:rsidR="00693274" w:rsidP="1290540A" w:rsidRDefault="00693274" w14:paraId="4971D41E" w14:textId="77777777" w14:noSpellErr="1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675"/>
              <w:outlineLvl w:val="7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>Contextually appropriate labels/names</w:t>
            </w:r>
          </w:p>
          <w:p w:rsidRPr="0030755C" w:rsidR="00693274" w:rsidP="1290540A" w:rsidRDefault="00693274" w14:paraId="2EE363DB" w14:textId="4D76AF81" w14:noSpellErr="1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675"/>
              <w:outlineLvl w:val="7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 xml:space="preserve">Definitions represent continuum of severity (e.g., </w:t>
            </w:r>
            <w:r w:rsidRPr="1290540A" w:rsidR="00C40C12">
              <w:rPr>
                <w:rFonts w:ascii="Calibri" w:hAnsi="Calibri" w:cs="Arial" w:asciiTheme="minorAscii" w:hAnsiTheme="minorAscii"/>
                <w:color w:val="auto"/>
              </w:rPr>
              <w:t xml:space="preserve">situationally inappropriate, </w:t>
            </w: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>minor</w:t>
            </w:r>
            <w:r w:rsidRPr="1290540A" w:rsidR="00C40C12">
              <w:rPr>
                <w:rFonts w:ascii="Calibri" w:hAnsi="Calibri" w:cs="Arial" w:asciiTheme="minorAscii" w:hAnsiTheme="minorAscii"/>
                <w:color w:val="auto"/>
              </w:rPr>
              <w:t xml:space="preserve"> problem</w:t>
            </w: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>, major</w:t>
            </w:r>
            <w:r w:rsidRPr="1290540A" w:rsidR="00C40C12">
              <w:rPr>
                <w:rFonts w:ascii="Calibri" w:hAnsi="Calibri" w:cs="Arial" w:asciiTheme="minorAscii" w:hAnsiTheme="minorAscii"/>
                <w:color w:val="auto"/>
              </w:rPr>
              <w:t xml:space="preserve"> problem</w:t>
            </w: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>, illegal)</w:t>
            </w:r>
          </w:p>
          <w:p w:rsidRPr="0030755C" w:rsidR="00693274" w:rsidP="1290540A" w:rsidRDefault="00693274" w14:paraId="647AA40B" w14:textId="77777777" w14:noSpellErr="1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675"/>
              <w:outlineLvl w:val="7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>Definitions comprehensive in scope (school-wide)</w:t>
            </w:r>
          </w:p>
          <w:p w:rsidRPr="0030755C" w:rsidR="00693274" w:rsidP="1290540A" w:rsidRDefault="00693274" w14:paraId="4FF431E1" w14:textId="77777777" w14:noSpellErr="1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675"/>
              <w:outlineLvl w:val="7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>Definitions in measurable terms</w:t>
            </w:r>
          </w:p>
          <w:p w:rsidRPr="0030755C" w:rsidR="00693274" w:rsidP="1290540A" w:rsidRDefault="00693274" w14:paraId="662A768D" w14:textId="77777777" w14:noSpellErr="1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675"/>
              <w:outlineLvl w:val="7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>Mutually exclusive (minimal overlap)</w:t>
            </w:r>
          </w:p>
          <w:p w:rsidR="00693274" w:rsidP="1290540A" w:rsidRDefault="00693274" w14:paraId="215C7017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</w:p>
          <w:p w:rsidR="00693274" w:rsidP="1290540A" w:rsidRDefault="00693274" w14:paraId="43DBDB20" w14:textId="0612FC0F" w14:noSpellErr="1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  <w:t>Behavior Expectation Violations</w:t>
            </w:r>
          </w:p>
          <w:p w:rsidR="00693274" w:rsidP="1290540A" w:rsidRDefault="00693274" w14:paraId="64722B65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</w:p>
          <w:p w:rsidR="00693274" w:rsidP="1290540A" w:rsidRDefault="00693274" w14:paraId="0AF7BA8E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  <w:t>Classroom Managed (Minor)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4"/>
              <w:gridCol w:w="3222"/>
              <w:gridCol w:w="3223"/>
            </w:tblGrid>
            <w:tr w:rsidR="00693274" w:rsidTr="1290540A" w14:paraId="612A4B7E" w14:textId="77777777">
              <w:tc>
                <w:tcPr>
                  <w:tcW w:w="1694" w:type="dxa"/>
                  <w:tcMar/>
                </w:tcPr>
                <w:p w:rsidR="00693274" w:rsidP="1290540A" w:rsidRDefault="00693274" w14:paraId="5CBC8C89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  <w:r w:rsidRPr="1290540A" w:rsidR="00693274"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  <w:t>Behavior</w:t>
                  </w:r>
                </w:p>
              </w:tc>
              <w:tc>
                <w:tcPr>
                  <w:tcW w:w="3222" w:type="dxa"/>
                  <w:tcMar/>
                </w:tcPr>
                <w:p w:rsidR="00693274" w:rsidP="1290540A" w:rsidRDefault="00693274" w14:paraId="48685164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  <w:r w:rsidRPr="1290540A" w:rsidR="00693274"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  <w:t>Definition</w:t>
                  </w:r>
                </w:p>
              </w:tc>
              <w:tc>
                <w:tcPr>
                  <w:tcW w:w="3223" w:type="dxa"/>
                  <w:tcMar/>
                </w:tcPr>
                <w:p w:rsidR="00693274" w:rsidP="1290540A" w:rsidRDefault="00693274" w14:paraId="65073933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  <w:r w:rsidRPr="1290540A" w:rsidR="00693274"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  <w:t>Examples</w:t>
                  </w:r>
                </w:p>
              </w:tc>
            </w:tr>
            <w:tr w:rsidR="00693274" w:rsidTr="1290540A" w14:paraId="2F81F542" w14:textId="77777777">
              <w:tc>
                <w:tcPr>
                  <w:tcW w:w="1694" w:type="dxa"/>
                  <w:tcMar/>
                </w:tcPr>
                <w:p w:rsidR="00693274" w:rsidP="1290540A" w:rsidRDefault="00693274" w14:paraId="2E9F052E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2" w:type="dxa"/>
                  <w:tcMar/>
                </w:tcPr>
                <w:p w:rsidR="00693274" w:rsidP="1290540A" w:rsidRDefault="00693274" w14:paraId="25967879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3" w:type="dxa"/>
                  <w:tcMar/>
                </w:tcPr>
                <w:p w:rsidR="00693274" w:rsidP="1290540A" w:rsidRDefault="00693274" w14:paraId="18988DBB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</w:tr>
            <w:tr w:rsidR="00693274" w:rsidTr="1290540A" w14:paraId="07736D72" w14:textId="77777777">
              <w:tc>
                <w:tcPr>
                  <w:tcW w:w="1694" w:type="dxa"/>
                  <w:tcMar/>
                </w:tcPr>
                <w:p w:rsidR="00693274" w:rsidP="1290540A" w:rsidRDefault="00693274" w14:paraId="27AAB2E7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2" w:type="dxa"/>
                  <w:tcMar/>
                </w:tcPr>
                <w:p w:rsidR="00693274" w:rsidP="1290540A" w:rsidRDefault="00693274" w14:paraId="5A9E1E29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3" w:type="dxa"/>
                  <w:tcMar/>
                </w:tcPr>
                <w:p w:rsidR="00693274" w:rsidP="1290540A" w:rsidRDefault="00693274" w14:paraId="7EF7E75A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</w:tr>
            <w:tr w:rsidR="00693274" w:rsidTr="1290540A" w14:paraId="11E43CFC" w14:textId="77777777">
              <w:tc>
                <w:tcPr>
                  <w:tcW w:w="1694" w:type="dxa"/>
                  <w:tcMar/>
                </w:tcPr>
                <w:p w:rsidR="00693274" w:rsidP="1290540A" w:rsidRDefault="00693274" w14:paraId="723A6ABB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2" w:type="dxa"/>
                  <w:tcMar/>
                </w:tcPr>
                <w:p w:rsidR="00693274" w:rsidP="1290540A" w:rsidRDefault="00693274" w14:paraId="461D6A3D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3" w:type="dxa"/>
                  <w:tcMar/>
                </w:tcPr>
                <w:p w:rsidR="00693274" w:rsidP="1290540A" w:rsidRDefault="00693274" w14:paraId="71818BFC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</w:tr>
            <w:tr w:rsidR="00693274" w:rsidTr="1290540A" w14:paraId="52C7A62E" w14:textId="77777777">
              <w:tc>
                <w:tcPr>
                  <w:tcW w:w="1694" w:type="dxa"/>
                  <w:tcMar/>
                </w:tcPr>
                <w:p w:rsidR="00693274" w:rsidP="1290540A" w:rsidRDefault="00693274" w14:paraId="7C043B87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2" w:type="dxa"/>
                  <w:tcMar/>
                </w:tcPr>
                <w:p w:rsidR="00693274" w:rsidP="1290540A" w:rsidRDefault="00693274" w14:paraId="496C9BC9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3" w:type="dxa"/>
                  <w:tcMar/>
                </w:tcPr>
                <w:p w:rsidR="00693274" w:rsidP="1290540A" w:rsidRDefault="00693274" w14:paraId="66A13DAB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</w:tr>
            <w:tr w:rsidR="00693274" w:rsidTr="1290540A" w14:paraId="0EA58067" w14:textId="77777777">
              <w:tc>
                <w:tcPr>
                  <w:tcW w:w="1694" w:type="dxa"/>
                  <w:tcMar/>
                </w:tcPr>
                <w:p w:rsidR="00693274" w:rsidP="1290540A" w:rsidRDefault="00693274" w14:paraId="503F237A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2" w:type="dxa"/>
                  <w:tcMar/>
                </w:tcPr>
                <w:p w:rsidR="00693274" w:rsidP="1290540A" w:rsidRDefault="00693274" w14:paraId="2140E753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3" w:type="dxa"/>
                  <w:tcMar/>
                </w:tcPr>
                <w:p w:rsidR="00693274" w:rsidP="1290540A" w:rsidRDefault="00693274" w14:paraId="51F7131F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</w:tr>
          </w:tbl>
          <w:p w:rsidR="00693274" w:rsidP="1290540A" w:rsidRDefault="00693274" w14:paraId="7E3BB7B8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</w:p>
          <w:p w:rsidR="00693274" w:rsidP="1290540A" w:rsidRDefault="00693274" w14:paraId="540418E9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  <w:t>Office Managed (Major)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4"/>
              <w:gridCol w:w="3222"/>
              <w:gridCol w:w="3223"/>
            </w:tblGrid>
            <w:tr w:rsidR="00693274" w:rsidTr="1290540A" w14:paraId="01E49714" w14:textId="77777777">
              <w:tc>
                <w:tcPr>
                  <w:tcW w:w="1694" w:type="dxa"/>
                  <w:tcMar/>
                </w:tcPr>
                <w:p w:rsidR="00693274" w:rsidP="1290540A" w:rsidRDefault="00693274" w14:paraId="3C3C8148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  <w:r w:rsidRPr="1290540A" w:rsidR="00693274"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  <w:t>Behavior</w:t>
                  </w:r>
                </w:p>
              </w:tc>
              <w:tc>
                <w:tcPr>
                  <w:tcW w:w="3222" w:type="dxa"/>
                  <w:tcMar/>
                </w:tcPr>
                <w:p w:rsidR="00693274" w:rsidP="1290540A" w:rsidRDefault="00693274" w14:paraId="78386A70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  <w:r w:rsidRPr="1290540A" w:rsidR="00693274"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  <w:t>Definition</w:t>
                  </w:r>
                </w:p>
              </w:tc>
              <w:tc>
                <w:tcPr>
                  <w:tcW w:w="3223" w:type="dxa"/>
                  <w:tcMar/>
                </w:tcPr>
                <w:p w:rsidR="00693274" w:rsidP="1290540A" w:rsidRDefault="00693274" w14:paraId="27584F3D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  <w:r w:rsidRPr="1290540A" w:rsidR="00693274"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  <w:t>Examples</w:t>
                  </w:r>
                </w:p>
              </w:tc>
            </w:tr>
            <w:tr w:rsidR="00693274" w:rsidTr="1290540A" w14:paraId="5D4F3252" w14:textId="77777777">
              <w:tc>
                <w:tcPr>
                  <w:tcW w:w="1694" w:type="dxa"/>
                  <w:tcMar/>
                </w:tcPr>
                <w:p w:rsidR="00693274" w:rsidP="1290540A" w:rsidRDefault="00693274" w14:paraId="39848B6B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2" w:type="dxa"/>
                  <w:tcMar/>
                </w:tcPr>
                <w:p w:rsidR="00693274" w:rsidP="1290540A" w:rsidRDefault="00693274" w14:paraId="2CE567B5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3" w:type="dxa"/>
                  <w:tcMar/>
                </w:tcPr>
                <w:p w:rsidR="00693274" w:rsidP="1290540A" w:rsidRDefault="00693274" w14:paraId="77C86171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</w:tr>
            <w:tr w:rsidR="00693274" w:rsidTr="1290540A" w14:paraId="0249BBA8" w14:textId="77777777">
              <w:tc>
                <w:tcPr>
                  <w:tcW w:w="1694" w:type="dxa"/>
                  <w:tcMar/>
                </w:tcPr>
                <w:p w:rsidR="00693274" w:rsidP="1290540A" w:rsidRDefault="00693274" w14:paraId="424A60CF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2" w:type="dxa"/>
                  <w:tcMar/>
                </w:tcPr>
                <w:p w:rsidR="00693274" w:rsidP="1290540A" w:rsidRDefault="00693274" w14:paraId="3A70CA0E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3" w:type="dxa"/>
                  <w:tcMar/>
                </w:tcPr>
                <w:p w:rsidR="00693274" w:rsidP="1290540A" w:rsidRDefault="00693274" w14:paraId="1404414C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</w:tr>
            <w:tr w:rsidR="00693274" w:rsidTr="1290540A" w14:paraId="649C9F39" w14:textId="77777777">
              <w:tc>
                <w:tcPr>
                  <w:tcW w:w="1694" w:type="dxa"/>
                  <w:tcMar/>
                </w:tcPr>
                <w:p w:rsidR="00693274" w:rsidP="1290540A" w:rsidRDefault="00693274" w14:paraId="61B0D49A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2" w:type="dxa"/>
                  <w:tcMar/>
                </w:tcPr>
                <w:p w:rsidR="00693274" w:rsidP="1290540A" w:rsidRDefault="00693274" w14:paraId="57D8F71B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3" w:type="dxa"/>
                  <w:tcMar/>
                </w:tcPr>
                <w:p w:rsidR="00693274" w:rsidP="1290540A" w:rsidRDefault="00693274" w14:paraId="398CAB83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</w:tr>
            <w:tr w:rsidR="00693274" w:rsidTr="1290540A" w14:paraId="43467C1E" w14:textId="77777777">
              <w:tc>
                <w:tcPr>
                  <w:tcW w:w="1694" w:type="dxa"/>
                  <w:tcMar/>
                </w:tcPr>
                <w:p w:rsidR="00693274" w:rsidP="1290540A" w:rsidRDefault="00693274" w14:paraId="6795375B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2" w:type="dxa"/>
                  <w:tcMar/>
                </w:tcPr>
                <w:p w:rsidR="00693274" w:rsidP="1290540A" w:rsidRDefault="00693274" w14:paraId="62797C3E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  <w:tc>
                <w:tcPr>
                  <w:tcW w:w="3223" w:type="dxa"/>
                  <w:tcMar/>
                </w:tcPr>
                <w:p w:rsidR="00693274" w:rsidP="1290540A" w:rsidRDefault="00693274" w14:paraId="69A03CB9" w14:textId="77777777" w14:noSpellErr="1">
                  <w:pPr>
                    <w:spacing w:before="100" w:after="100"/>
                    <w:rPr>
                      <w:rFonts w:ascii="Calibri" w:hAnsi="Calibri" w:cs="Arial" w:asciiTheme="minorAscii" w:hAnsiTheme="minorAscii"/>
                      <w:b w:val="1"/>
                      <w:bCs w:val="1"/>
                      <w:color w:val="auto"/>
                    </w:rPr>
                  </w:pPr>
                </w:p>
              </w:tc>
            </w:tr>
          </w:tbl>
          <w:p w:rsidR="00693274" w:rsidP="1290540A" w:rsidRDefault="00693274" w14:paraId="02146EDB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</w:p>
          <w:p w:rsidRPr="0030755C" w:rsidR="00693274" w:rsidP="1290540A" w:rsidRDefault="00693274" w14:paraId="64ED86DF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  <w:t>OR</w:t>
            </w:r>
          </w:p>
        </w:tc>
      </w:tr>
      <w:tr w:rsidRPr="0030755C" w:rsidR="00693274" w:rsidTr="1290540A" w14:paraId="260C48DB" w14:textId="77777777"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</w:tcBorders>
            <w:tcMar/>
          </w:tcPr>
          <w:p w:rsidRPr="0030755C" w:rsidR="00693274" w:rsidP="1290540A" w:rsidRDefault="00693274" w14:paraId="704C3DAA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4000" w:type="pct"/>
            <w:gridSpan w:val="4"/>
            <w:tcMar/>
          </w:tcPr>
          <w:p w:rsidRPr="0030755C" w:rsidR="00693274" w:rsidP="1290540A" w:rsidRDefault="00693274" w14:paraId="37E6A31C" w14:textId="77777777" w14:noSpellErr="1">
            <w:pPr>
              <w:spacing w:before="100" w:after="100"/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  <w:t>Level</w:t>
            </w:r>
          </w:p>
        </w:tc>
      </w:tr>
      <w:tr w:rsidRPr="0030755C" w:rsidR="00693274" w:rsidTr="1290540A" w14:paraId="0E598F97" w14:textId="77777777">
        <w:trPr>
          <w:jc w:val="center"/>
        </w:trPr>
        <w:tc>
          <w:tcPr>
            <w:tcW w:w="1000" w:type="pct"/>
            <w:tcBorders>
              <w:top w:val="nil"/>
              <w:left w:val="nil"/>
            </w:tcBorders>
            <w:tcMar/>
          </w:tcPr>
          <w:p w:rsidRPr="0030755C" w:rsidR="00693274" w:rsidP="1290540A" w:rsidRDefault="00693274" w14:paraId="4053D1AD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6A9FA4B3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>I.</w:t>
            </w:r>
          </w:p>
        </w:tc>
        <w:tc>
          <w:tcPr>
            <w:tcW w:w="1000" w:type="pct"/>
            <w:tcMar/>
          </w:tcPr>
          <w:p w:rsidRPr="0030755C" w:rsidR="00693274" w:rsidP="1290540A" w:rsidRDefault="00693274" w14:paraId="097E527A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>II.</w:t>
            </w:r>
          </w:p>
        </w:tc>
        <w:tc>
          <w:tcPr>
            <w:tcW w:w="1000" w:type="pct"/>
            <w:tcMar/>
          </w:tcPr>
          <w:p w:rsidRPr="0030755C" w:rsidR="00693274" w:rsidP="1290540A" w:rsidRDefault="00693274" w14:paraId="4E2ED7EE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>III.</w:t>
            </w:r>
          </w:p>
        </w:tc>
        <w:tc>
          <w:tcPr>
            <w:tcW w:w="1000" w:type="pct"/>
            <w:tcMar/>
          </w:tcPr>
          <w:p w:rsidRPr="0030755C" w:rsidR="00693274" w:rsidP="1290540A" w:rsidRDefault="00693274" w14:paraId="761E957B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color w:val="auto"/>
              </w:rPr>
              <w:t>IV.</w:t>
            </w:r>
          </w:p>
        </w:tc>
      </w:tr>
      <w:tr w:rsidRPr="0030755C" w:rsidR="00693274" w:rsidTr="1290540A" w14:paraId="587CC7C7" w14:textId="77777777">
        <w:trPr>
          <w:jc w:val="center"/>
        </w:trPr>
        <w:tc>
          <w:tcPr>
            <w:tcW w:w="1000" w:type="pct"/>
            <w:tcMar/>
          </w:tcPr>
          <w:p w:rsidRPr="0030755C" w:rsidR="00693274" w:rsidP="1290540A" w:rsidRDefault="00693274" w14:paraId="1CE649BB" w14:textId="77777777" w14:noSpellErr="1">
            <w:pPr>
              <w:tabs>
                <w:tab w:val="left" w:pos="1560"/>
              </w:tabs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  <w:t>Name/Label</w:t>
            </w:r>
          </w:p>
        </w:tc>
        <w:tc>
          <w:tcPr>
            <w:tcW w:w="1000" w:type="pct"/>
            <w:tcMar/>
          </w:tcPr>
          <w:p w:rsidRPr="0030755C" w:rsidR="00693274" w:rsidP="1290540A" w:rsidRDefault="00693274" w14:paraId="49A75569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33848C1D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7F000EBF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4042A9E7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</w:tr>
      <w:tr w:rsidRPr="0030755C" w:rsidR="00693274" w:rsidTr="1290540A" w14:paraId="6D7A0BF1" w14:textId="77777777">
        <w:trPr>
          <w:cantSplit/>
          <w:jc w:val="center"/>
        </w:trPr>
        <w:tc>
          <w:tcPr>
            <w:tcW w:w="1000" w:type="pct"/>
            <w:tcMar/>
            <w:vAlign w:val="center"/>
          </w:tcPr>
          <w:p w:rsidRPr="0030755C" w:rsidR="00693274" w:rsidP="1290540A" w:rsidRDefault="00693274" w14:paraId="4608F45C" w14:textId="77777777" w14:noSpellErr="1">
            <w:pPr>
              <w:tabs>
                <w:tab w:val="left" w:pos="1560"/>
              </w:tabs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  <w:t>Definition</w:t>
            </w:r>
          </w:p>
        </w:tc>
        <w:tc>
          <w:tcPr>
            <w:tcW w:w="1000" w:type="pct"/>
            <w:tcMar/>
          </w:tcPr>
          <w:p w:rsidRPr="0030755C" w:rsidR="00693274" w:rsidP="1290540A" w:rsidRDefault="00693274" w14:paraId="609349CF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0D83629E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046B07C4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19159ECE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</w:tr>
      <w:tr w:rsidRPr="0030755C" w:rsidR="00693274" w:rsidTr="1290540A" w14:paraId="329640BB" w14:textId="77777777">
        <w:trPr>
          <w:cantSplit/>
          <w:jc w:val="center"/>
        </w:trPr>
        <w:tc>
          <w:tcPr>
            <w:tcW w:w="1000" w:type="pct"/>
            <w:tcMar/>
            <w:vAlign w:val="center"/>
          </w:tcPr>
          <w:p w:rsidRPr="0030755C" w:rsidR="00693274" w:rsidP="1290540A" w:rsidRDefault="00693274" w14:paraId="7E2904D9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  <w:t>Examples</w:t>
            </w:r>
          </w:p>
        </w:tc>
        <w:tc>
          <w:tcPr>
            <w:tcW w:w="1000" w:type="pct"/>
            <w:tcMar/>
          </w:tcPr>
          <w:p w:rsidRPr="0030755C" w:rsidR="00693274" w:rsidP="1290540A" w:rsidRDefault="00693274" w14:paraId="06ABF30B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0D97AA5E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0E6F8290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66F07A71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</w:tr>
      <w:tr w:rsidRPr="0030755C" w:rsidR="00693274" w:rsidTr="1290540A" w14:paraId="75014045" w14:textId="77777777">
        <w:trPr>
          <w:jc w:val="center"/>
        </w:trPr>
        <w:tc>
          <w:tcPr>
            <w:tcW w:w="1000" w:type="pct"/>
            <w:tcMar/>
            <w:vAlign w:val="center"/>
          </w:tcPr>
          <w:p w:rsidRPr="0030755C" w:rsidR="00693274" w:rsidP="1290540A" w:rsidRDefault="00693274" w14:paraId="493E0D31" w14:textId="77777777" w14:noSpellErr="1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</w:pPr>
            <w:r w:rsidRPr="1290540A" w:rsidR="00693274">
              <w:rPr>
                <w:rFonts w:ascii="Calibri" w:hAnsi="Calibri" w:cs="Arial" w:asciiTheme="minorAscii" w:hAnsiTheme="minorAscii"/>
                <w:b w:val="1"/>
                <w:bCs w:val="1"/>
                <w:color w:val="auto"/>
              </w:rPr>
              <w:t>Procedures</w:t>
            </w:r>
          </w:p>
        </w:tc>
        <w:tc>
          <w:tcPr>
            <w:tcW w:w="1000" w:type="pct"/>
            <w:tcMar/>
          </w:tcPr>
          <w:p w:rsidRPr="0030755C" w:rsidR="00693274" w:rsidP="1290540A" w:rsidRDefault="00693274" w14:paraId="6C8CE0AC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73941873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137AD842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  <w:tc>
          <w:tcPr>
            <w:tcW w:w="1000" w:type="pct"/>
            <w:tcMar/>
          </w:tcPr>
          <w:p w:rsidRPr="0030755C" w:rsidR="00693274" w:rsidP="1290540A" w:rsidRDefault="00693274" w14:paraId="6AC725C7" w14:textId="77777777" w14:noSpellErr="1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ascii="Calibri" w:hAnsi="Calibri" w:cs="Arial" w:asciiTheme="minorAscii" w:hAnsiTheme="minorAscii"/>
                <w:color w:val="auto"/>
              </w:rPr>
            </w:pPr>
          </w:p>
        </w:tc>
      </w:tr>
    </w:tbl>
    <w:p w:rsidR="00693274" w:rsidP="00693274" w:rsidRDefault="00693274" w14:paraId="4C0B965F" w14:textId="1B7FD5FC">
      <w:pPr>
        <w:spacing w:before="100" w:after="100"/>
        <w:rPr>
          <w:rFonts w:cs="Arial" w:asciiTheme="minorHAnsi" w:hAnsiTheme="minorHAnsi"/>
          <w:bCs/>
          <w:color w:val="3366FF"/>
        </w:rPr>
      </w:pPr>
    </w:p>
    <w:p w:rsidRPr="00693274" w:rsidR="00693274" w:rsidP="00693274" w:rsidRDefault="00693274" w14:paraId="332F8553" w14:textId="6348A0FC">
      <w:pPr>
        <w:spacing w:before="100" w:after="100"/>
        <w:rPr>
          <w:rFonts w:cs="Arial" w:asciiTheme="minorHAnsi" w:hAnsiTheme="minorHAnsi"/>
          <w:bCs/>
          <w:color w:val="000000" w:themeColor="text1"/>
        </w:rPr>
      </w:pPr>
      <w:r w:rsidRPr="00693274">
        <w:rPr>
          <w:rFonts w:cs="Arial" w:asciiTheme="minorHAnsi" w:hAnsiTheme="minorHAnsi"/>
          <w:bCs/>
          <w:color w:val="000000" w:themeColor="text1"/>
        </w:rPr>
        <w:t>Use the guidelines below related to culture/context</w:t>
      </w:r>
      <w:r>
        <w:rPr>
          <w:rFonts w:cs="Arial" w:asciiTheme="minorHAnsi" w:hAnsiTheme="minorHAnsi"/>
          <w:bCs/>
          <w:color w:val="000000" w:themeColor="text1"/>
        </w:rPr>
        <w:t xml:space="preserve"> and systems</w:t>
      </w:r>
      <w:r w:rsidRPr="00693274">
        <w:rPr>
          <w:rFonts w:cs="Arial" w:asciiTheme="minorHAnsi" w:hAnsiTheme="minorHAnsi"/>
          <w:bCs/>
          <w:color w:val="000000" w:themeColor="text1"/>
        </w:rPr>
        <w:t xml:space="preserve"> to inform your action plan</w:t>
      </w:r>
      <w:r>
        <w:rPr>
          <w:rFonts w:cs="Arial" w:asciiTheme="minorHAnsi" w:hAnsiTheme="minorHAnsi"/>
          <w:bCs/>
          <w:color w:val="000000" w:themeColor="text1"/>
        </w:rPr>
        <w:t xml:space="preserve"> and development process</w:t>
      </w:r>
      <w:r w:rsidRPr="00693274">
        <w:rPr>
          <w:rFonts w:cs="Arial" w:asciiTheme="minorHAnsi" w:hAnsiTheme="minorHAnsi"/>
          <w:bCs/>
          <w:color w:val="000000" w:themeColor="text1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248"/>
      </w:tblGrid>
      <w:tr w:rsidRPr="0030755C" w:rsidR="00693274" w:rsidTr="1290540A" w14:paraId="6D2953FB" w14:textId="77777777">
        <w:trPr>
          <w:tblHeader/>
          <w:jc w:val="center"/>
        </w:trPr>
        <w:tc>
          <w:tcPr>
            <w:tcW w:w="4248" w:type="dxa"/>
            <w:shd w:val="clear" w:color="auto" w:fill="3366FF"/>
            <w:tcMar/>
            <w:vAlign w:val="center"/>
          </w:tcPr>
          <w:p w:rsidRPr="0030755C" w:rsidR="00693274" w:rsidP="00A47FA7" w:rsidRDefault="00693274" w14:paraId="0014A335" w14:textId="51649166">
            <w:pPr>
              <w:widowControl w:val="0"/>
              <w:spacing w:before="100" w:after="100"/>
              <w:jc w:val="center"/>
              <w:rPr>
                <w:rFonts w:cs="Arial" w:asciiTheme="minorHAnsi" w:hAnsiTheme="minorHAnsi"/>
                <w:b/>
                <w:i/>
                <w:color w:val="FFFFFF" w:themeColor="background1"/>
              </w:rPr>
            </w:pPr>
            <w:r w:rsidRPr="0030755C">
              <w:rPr>
                <w:rFonts w:cs="Arial" w:asciiTheme="minorHAnsi" w:hAnsiTheme="minorHAnsi"/>
                <w:b/>
                <w:color w:val="FFFFFF" w:themeColor="background1"/>
              </w:rPr>
              <w:t>Guidelines for Culture and Context</w:t>
            </w:r>
          </w:p>
        </w:tc>
        <w:tc>
          <w:tcPr>
            <w:tcW w:w="4248" w:type="dxa"/>
            <w:shd w:val="clear" w:color="auto" w:fill="3366FF"/>
            <w:tcMar/>
            <w:vAlign w:val="center"/>
          </w:tcPr>
          <w:p w:rsidRPr="00693274" w:rsidR="00693274" w:rsidP="00A47FA7" w:rsidRDefault="00693274" w14:paraId="32C5E685" w14:textId="740A03CC">
            <w:pPr>
              <w:widowControl w:val="0"/>
              <w:spacing w:before="100" w:after="100"/>
              <w:jc w:val="center"/>
              <w:rPr>
                <w:rFonts w:cs="Arial" w:asciiTheme="minorHAnsi" w:hAnsiTheme="minorHAnsi"/>
                <w:b/>
                <w:bCs/>
                <w:color w:val="FFFFFF" w:themeColor="background1"/>
              </w:rPr>
            </w:pPr>
            <w:r w:rsidRPr="00693274">
              <w:rPr>
                <w:rFonts w:cs="Arial" w:asciiTheme="minorHAnsi" w:hAnsiTheme="minorHAnsi"/>
                <w:b/>
                <w:bCs/>
                <w:color w:val="FFFFFF" w:themeColor="background1"/>
              </w:rPr>
              <w:t>Guidelines for Systems</w:t>
            </w:r>
          </w:p>
        </w:tc>
      </w:tr>
      <w:tr w:rsidRPr="0030755C" w:rsidR="00693274" w:rsidTr="1290540A" w14:paraId="4F023327" w14:textId="77777777">
        <w:trPr>
          <w:jc w:val="center"/>
        </w:trPr>
        <w:tc>
          <w:tcPr>
            <w:tcW w:w="4248" w:type="dxa"/>
            <w:tcBorders>
              <w:bottom w:val="single" w:color="000000" w:themeColor="text1" w:sz="4" w:space="0"/>
            </w:tcBorders>
            <w:tcMar/>
          </w:tcPr>
          <w:p w:rsidRPr="0030755C" w:rsidR="00693274" w:rsidP="00693274" w:rsidRDefault="00693274" w14:paraId="6FC0E6E9" w14:textId="77777777">
            <w:pPr>
              <w:pStyle w:val="ListParagraph"/>
              <w:numPr>
                <w:ilvl w:val="0"/>
                <w:numId w:val="1"/>
              </w:numPr>
              <w:spacing w:before="100" w:after="100"/>
              <w:ind w:left="360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 Involve staff, students, &amp; families in development </w:t>
            </w:r>
          </w:p>
          <w:p w:rsidRPr="0030755C" w:rsidR="00693274" w:rsidP="00693274" w:rsidRDefault="00693274" w14:paraId="5667758D" w14:textId="77777777">
            <w:pPr>
              <w:pStyle w:val="ListParagraph"/>
              <w:numPr>
                <w:ilvl w:val="0"/>
                <w:numId w:val="1"/>
              </w:numPr>
              <w:spacing w:before="100" w:after="100"/>
              <w:ind w:left="360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Contextually/culturally appropriate (e.g., age, level, language) </w:t>
            </w:r>
          </w:p>
          <w:p w:rsidRPr="0030755C" w:rsidR="00693274" w:rsidP="00693274" w:rsidRDefault="00693274" w14:paraId="0525F11D" w14:textId="5A157445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360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Examine disaggregated data to ensure implementation of each feature works for </w:t>
            </w:r>
            <w:r w:rsidRPr="0030755C">
              <w:rPr>
                <w:rFonts w:cs="Arial" w:asciiTheme="minorHAnsi" w:hAnsiTheme="minorHAnsi"/>
                <w:i/>
                <w:iCs/>
                <w:sz w:val="20"/>
                <w:szCs w:val="20"/>
              </w:rPr>
              <w:t>all</w:t>
            </w: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 subgroups of students</w:t>
            </w:r>
          </w:p>
        </w:tc>
        <w:tc>
          <w:tcPr>
            <w:tcW w:w="4248" w:type="dxa"/>
            <w:tcBorders>
              <w:bottom w:val="single" w:color="000000" w:themeColor="text1" w:sz="4" w:space="0"/>
            </w:tcBorders>
            <w:tcMar/>
          </w:tcPr>
          <w:p w:rsidRPr="0030755C" w:rsidR="00693274" w:rsidP="1290540A" w:rsidRDefault="00693274" w14:paraId="32DD1A95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ascii="Calibri" w:hAnsi="Calibri" w:cs="Arial" w:asciiTheme="minorAscii" w:hAnsiTheme="minorAsci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b/>
                <w:i/>
                <w:noProof/>
                <w:color w:val="FFFFFF" w:themeColor="background1"/>
              </w:rPr>
              <w:drawing>
                <wp:anchor distT="0" distB="0" distL="114300" distR="114300" simplePos="0" relativeHeight="251661312" behindDoc="0" locked="0" layoutInCell="1" allowOverlap="1" wp14:anchorId="3D883986" wp14:editId="2E1399EE">
                  <wp:simplePos x="0" y="0"/>
                  <wp:positionH relativeFrom="column">
                    <wp:posOffset>2406932</wp:posOffset>
                  </wp:positionH>
                  <wp:positionV relativeFrom="paragraph">
                    <wp:posOffset>-321028</wp:posOffset>
                  </wp:positionV>
                  <wp:extent cx="420370" cy="420370"/>
                  <wp:effectExtent l="0" t="0" r="11430" b="11430"/>
                  <wp:wrapNone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290540A" w:rsidR="00693274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 Agreement by &gt; 80% faculty and staff</w:t>
            </w:r>
          </w:p>
          <w:p w:rsidRPr="0030755C" w:rsidR="00693274" w:rsidP="00693274" w:rsidRDefault="00693274" w14:paraId="6751909B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>Include procedures for informing others (</w:t>
            </w:r>
            <w:proofErr w:type="gramStart"/>
            <w:r w:rsidRPr="0030755C">
              <w:rPr>
                <w:rFonts w:cs="Arial" w:asciiTheme="minorHAnsi" w:hAnsiTheme="minorHAnsi"/>
                <w:sz w:val="20"/>
                <w:szCs w:val="20"/>
              </w:rPr>
              <w:t>e.g.</w:t>
            </w:r>
            <w:proofErr w:type="gramEnd"/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 families, community, district administrators, substitute teachers &amp; staff)</w:t>
            </w:r>
          </w:p>
          <w:p w:rsidRPr="0030755C" w:rsidR="00693274" w:rsidP="00693274" w:rsidRDefault="00693274" w14:paraId="3F257947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>Includes procedures for providing instruction to new faculty, staff, students, etc.</w:t>
            </w:r>
          </w:p>
          <w:p w:rsidRPr="0030755C" w:rsidR="00693274" w:rsidP="00693274" w:rsidRDefault="00693274" w14:paraId="1BAA7302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>Schedule continuous evaluation of effectiveness, efficiency, and relevance</w:t>
            </w:r>
          </w:p>
          <w:p w:rsidRPr="0030755C" w:rsidR="00693274" w:rsidP="00693274" w:rsidRDefault="00693274" w14:paraId="59633C03" w14:textId="750AE1E0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360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>Include in school publications (e.g., handbook, posters, newsletters, etc.)</w:t>
            </w:r>
          </w:p>
        </w:tc>
      </w:tr>
    </w:tbl>
    <w:p w:rsidR="00C40C12" w:rsidP="00693274" w:rsidRDefault="00C40C12" w14:paraId="3FF1FDD9" w14:textId="77777777">
      <w:pPr>
        <w:spacing w:before="100" w:after="100"/>
        <w:rPr>
          <w:rFonts w:cs="Arial" w:asciiTheme="minorHAnsi" w:hAnsiTheme="minorHAnsi"/>
          <w:bCs/>
          <w:color w:val="3366FF"/>
        </w:rPr>
      </w:pPr>
    </w:p>
    <w:p w:rsidR="00C40C12" w:rsidP="00693274" w:rsidRDefault="00C40C12" w14:paraId="57251648" w14:textId="77777777">
      <w:pPr>
        <w:spacing w:before="100" w:after="100"/>
        <w:rPr>
          <w:rFonts w:cs="Arial" w:asciiTheme="minorHAnsi" w:hAnsiTheme="minorHAnsi"/>
          <w:bCs/>
          <w:color w:val="3366FF"/>
        </w:rPr>
      </w:pPr>
      <w:r>
        <w:rPr>
          <w:rFonts w:cs="Arial" w:asciiTheme="minorHAnsi" w:hAnsiTheme="minorHAnsi"/>
          <w:bCs/>
          <w:color w:val="3366FF"/>
        </w:rPr>
        <w:t>Recommended Follow up: Pi Chart Activity</w:t>
      </w:r>
    </w:p>
    <w:p w:rsidR="00C40C12" w:rsidP="00C40C12" w:rsidRDefault="00C40C12" w14:paraId="25569279" w14:textId="77777777">
      <w:pPr>
        <w:spacing w:before="100" w:after="100"/>
        <w:rPr>
          <w:rFonts w:cs="Arial" w:asciiTheme="minorHAnsi" w:hAnsiTheme="minorHAnsi"/>
          <w:bCs/>
          <w:color w:val="000000" w:themeColor="text1"/>
        </w:rPr>
      </w:pPr>
      <w:r w:rsidRPr="00C40C12">
        <w:rPr>
          <w:rFonts w:cs="Arial" w:asciiTheme="minorHAnsi" w:hAnsiTheme="minorHAnsi"/>
          <w:bCs/>
          <w:color w:val="000000" w:themeColor="text1"/>
        </w:rPr>
        <w:t>Similar to the T-chart, which is used to distinguish between staff-managed and office-managed unwanted behaviors,</w:t>
      </w:r>
      <w:r>
        <w:rPr>
          <w:rFonts w:cs="Arial" w:asciiTheme="minorHAnsi" w:hAnsiTheme="minorHAnsi"/>
          <w:bCs/>
          <w:color w:val="000000" w:themeColor="text1"/>
        </w:rPr>
        <w:t xml:space="preserve"> </w:t>
      </w:r>
      <w:r w:rsidRPr="00C40C12">
        <w:rPr>
          <w:rFonts w:cs="Arial" w:asciiTheme="minorHAnsi" w:hAnsiTheme="minorHAnsi"/>
          <w:bCs/>
          <w:color w:val="000000" w:themeColor="text1"/>
        </w:rPr>
        <w:t xml:space="preserve">the </w:t>
      </w:r>
      <w:proofErr w:type="spellStart"/>
      <w:r w:rsidRPr="00C40C12">
        <w:rPr>
          <w:rFonts w:cs="Arial" w:asciiTheme="minorHAnsi" w:hAnsiTheme="minorHAnsi"/>
          <w:bCs/>
          <w:color w:val="000000" w:themeColor="text1"/>
        </w:rPr>
        <w:t>Pi</w:t>
      </w:r>
      <w:proofErr w:type="spellEnd"/>
      <w:r w:rsidRPr="00C40C12">
        <w:rPr>
          <w:rFonts w:cs="Arial" w:asciiTheme="minorHAnsi" w:hAnsiTheme="minorHAnsi"/>
          <w:bCs/>
          <w:color w:val="000000" w:themeColor="text1"/>
        </w:rPr>
        <w:t xml:space="preserve"> Chart is an activity that is used by a school team, whole school staff, or classroom (with students as the participants)</w:t>
      </w:r>
      <w:r>
        <w:rPr>
          <w:rFonts w:cs="Arial" w:asciiTheme="minorHAnsi" w:hAnsiTheme="minorHAnsi"/>
          <w:bCs/>
          <w:color w:val="000000" w:themeColor="text1"/>
        </w:rPr>
        <w:t xml:space="preserve"> </w:t>
      </w:r>
      <w:r w:rsidRPr="00C40C12">
        <w:rPr>
          <w:rFonts w:cs="Arial" w:asciiTheme="minorHAnsi" w:hAnsiTheme="minorHAnsi"/>
          <w:bCs/>
          <w:color w:val="000000" w:themeColor="text1"/>
        </w:rPr>
        <w:t>to identify student behaviors that are not “wrong,” but simply inappropriate for the classroom (or other setting).</w:t>
      </w:r>
      <w:r>
        <w:rPr>
          <w:rFonts w:cs="Arial" w:asciiTheme="minorHAnsi" w:hAnsiTheme="minorHAnsi"/>
          <w:bCs/>
          <w:color w:val="000000" w:themeColor="text1"/>
        </w:rPr>
        <w:t xml:space="preserve"> Take 30-45 minutes to engage staff in reclassifying some behaviors as not universally “wrong” but rather inappropriate to the specific setting in school. A description of the activity and plan for completing with staff can be found in Appendix F of the PBIS Cultural Responsiveness Field Guide. </w:t>
      </w:r>
    </w:p>
    <w:p w:rsidRPr="00C40C12" w:rsidR="00693274" w:rsidP="1290540A" w:rsidRDefault="00C40C12" w14:paraId="62177DE0" w14:textId="4DBC03B6">
      <w:pPr>
        <w:spacing w:before="100" w:after="100"/>
        <w:rPr>
          <w:rFonts w:ascii="Calibri" w:hAnsi="Calibri" w:cs="Arial" w:asciiTheme="minorAscii" w:hAnsiTheme="minorAscii"/>
          <w:color w:val="000000" w:themeColor="text1" w:themeTint="FF" w:themeShade="FF"/>
        </w:rPr>
      </w:pPr>
      <w:r w:rsidRPr="1290540A" w:rsidR="00C40C12">
        <w:rPr>
          <w:rStyle w:val="A7"/>
        </w:rPr>
        <w:t>Leverson</w:t>
      </w:r>
      <w:r w:rsidRPr="1290540A" w:rsidR="00C40C12">
        <w:rPr>
          <w:rStyle w:val="A7"/>
        </w:rPr>
        <w:t xml:space="preserve">, M., Smith, K., McIntosh, K., Rose, J., &amp; Pinkelman, S. (2019). </w:t>
      </w:r>
      <w:r w:rsidRPr="1290540A" w:rsidR="00C40C12">
        <w:rPr>
          <w:rStyle w:val="A7"/>
          <w:i w:val="1"/>
          <w:iCs w:val="1"/>
        </w:rPr>
        <w:t xml:space="preserve">PBIS Cultural Responsiveness Field Guide: Resources for trainers and coaches. </w:t>
      </w:r>
      <w:r w:rsidRPr="1290540A" w:rsidR="00C40C12">
        <w:rPr>
          <w:rStyle w:val="A7"/>
        </w:rPr>
        <w:t>OSEP Technical Assistance Center on Positive Behavioral Interven</w:t>
      </w:r>
      <w:r w:rsidRPr="1290540A" w:rsidR="00C40C12">
        <w:rPr>
          <w:rStyle w:val="A7"/>
        </w:rPr>
        <w:t xml:space="preserve">tions and Supports. </w:t>
      </w:r>
      <w:hyperlink r:id="Rce4f04e89f5342d2">
        <w:r w:rsidRPr="1290540A" w:rsidR="00C40C12">
          <w:rPr>
            <w:rStyle w:val="Hyperlink"/>
          </w:rPr>
          <w:t>https://www.pbis.org/resource/pbis-cultural-responsiveness-field-guide-resources-for-trainers-and-coaches</w:t>
        </w:r>
      </w:hyperlink>
      <w:r w:rsidRPr="1290540A" w:rsidR="00C40C12">
        <w:rPr>
          <w:rStyle w:val="A7"/>
        </w:rPr>
        <w:t>.</w:t>
      </w:r>
    </w:p>
    <w:p w:rsidRPr="00C40C12" w:rsidR="00693274" w:rsidP="1290540A" w:rsidRDefault="00C40C12" w14:paraId="7394855D" w14:textId="31C42A69">
      <w:pPr>
        <w:pStyle w:val="Normal"/>
        <w:spacing w:before="100" w:after="100"/>
        <w:rPr>
          <w:rFonts w:ascii="Calibri" w:hAnsi="Calibri" w:cs="Arial" w:asciiTheme="minorAscii" w:hAnsiTheme="minorAscii"/>
          <w:color w:val="000000" w:themeColor="text1"/>
        </w:rPr>
      </w:pPr>
      <w:r w:rsidRPr="1290540A" w:rsidR="00C40C12">
        <w:rPr>
          <w:rStyle w:val="A7"/>
        </w:rPr>
        <w:t xml:space="preserve"> </w:t>
      </w:r>
      <w:r w:rsidRPr="1290540A">
        <w:rPr>
          <w:rFonts w:ascii="Calibri" w:hAnsi="Calibri" w:cs="Arial" w:asciiTheme="minorAscii" w:hAnsiTheme="minorAscii"/>
          <w:color w:val="3366FF"/>
        </w:rPr>
        <w:br w:type="page"/>
      </w:r>
    </w:p>
    <w:p w:rsidR="009E736E" w:rsidRDefault="009E736E" w14:paraId="52F7F854" w14:textId="323D2FB3">
      <w:r w:rsidR="47C05345">
        <w:drawing>
          <wp:inline wp14:editId="05A8C205" wp14:anchorId="699041AD">
            <wp:extent cx="5890054" cy="2724150"/>
            <wp:effectExtent l="152400" t="152400" r="339725" b="342900"/>
            <wp:docPr id="4254254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12b12d17424b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890054" cy="272415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E736E" w:rsidSect="006717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772C"/>
    <w:multiLevelType w:val="hybridMultilevel"/>
    <w:tmpl w:val="B4686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A0F7C"/>
    <w:multiLevelType w:val="hybridMultilevel"/>
    <w:tmpl w:val="9DD0CB82"/>
    <w:lvl w:ilvl="0" w:tplc="2E6AF5B2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1" w:tplc="2E6AF5B2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E40B7D"/>
    <w:multiLevelType w:val="hybridMultilevel"/>
    <w:tmpl w:val="B8AE98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74"/>
    <w:rsid w:val="00005B71"/>
    <w:rsid w:val="00041352"/>
    <w:rsid w:val="00062354"/>
    <w:rsid w:val="00067DB2"/>
    <w:rsid w:val="0008512E"/>
    <w:rsid w:val="000900AD"/>
    <w:rsid w:val="00093407"/>
    <w:rsid w:val="000B2D70"/>
    <w:rsid w:val="000C00CC"/>
    <w:rsid w:val="000C25E6"/>
    <w:rsid w:val="000E558B"/>
    <w:rsid w:val="000E7294"/>
    <w:rsid w:val="00107F36"/>
    <w:rsid w:val="001145DC"/>
    <w:rsid w:val="00140676"/>
    <w:rsid w:val="001504E2"/>
    <w:rsid w:val="00156C61"/>
    <w:rsid w:val="0019435C"/>
    <w:rsid w:val="0019669B"/>
    <w:rsid w:val="001B428E"/>
    <w:rsid w:val="001C62D7"/>
    <w:rsid w:val="001E14FD"/>
    <w:rsid w:val="001F6459"/>
    <w:rsid w:val="00240C7E"/>
    <w:rsid w:val="002442E7"/>
    <w:rsid w:val="00245AA2"/>
    <w:rsid w:val="00251F1C"/>
    <w:rsid w:val="002B1596"/>
    <w:rsid w:val="002E237B"/>
    <w:rsid w:val="00302F9D"/>
    <w:rsid w:val="003316C4"/>
    <w:rsid w:val="00350C09"/>
    <w:rsid w:val="00375BA8"/>
    <w:rsid w:val="003919C8"/>
    <w:rsid w:val="003963C3"/>
    <w:rsid w:val="003B571C"/>
    <w:rsid w:val="003B6531"/>
    <w:rsid w:val="003B76E6"/>
    <w:rsid w:val="003C26E9"/>
    <w:rsid w:val="00420F43"/>
    <w:rsid w:val="00450229"/>
    <w:rsid w:val="00474116"/>
    <w:rsid w:val="004979AE"/>
    <w:rsid w:val="004A13C9"/>
    <w:rsid w:val="004C77B2"/>
    <w:rsid w:val="0050328C"/>
    <w:rsid w:val="00515E21"/>
    <w:rsid w:val="00557BB4"/>
    <w:rsid w:val="005C3F12"/>
    <w:rsid w:val="005C5458"/>
    <w:rsid w:val="006154BB"/>
    <w:rsid w:val="0061672A"/>
    <w:rsid w:val="00656A70"/>
    <w:rsid w:val="006717A2"/>
    <w:rsid w:val="00686257"/>
    <w:rsid w:val="0069023F"/>
    <w:rsid w:val="00693274"/>
    <w:rsid w:val="006A3364"/>
    <w:rsid w:val="006B1C6F"/>
    <w:rsid w:val="00710094"/>
    <w:rsid w:val="007301AA"/>
    <w:rsid w:val="00742C36"/>
    <w:rsid w:val="007665EC"/>
    <w:rsid w:val="007A2406"/>
    <w:rsid w:val="007B30C7"/>
    <w:rsid w:val="007E2A57"/>
    <w:rsid w:val="007F116C"/>
    <w:rsid w:val="008114D8"/>
    <w:rsid w:val="00817A8D"/>
    <w:rsid w:val="00826F55"/>
    <w:rsid w:val="008572BC"/>
    <w:rsid w:val="00894868"/>
    <w:rsid w:val="00894A3D"/>
    <w:rsid w:val="00894D69"/>
    <w:rsid w:val="008F5386"/>
    <w:rsid w:val="0091222B"/>
    <w:rsid w:val="00920E7F"/>
    <w:rsid w:val="009628C6"/>
    <w:rsid w:val="0097751B"/>
    <w:rsid w:val="00997F23"/>
    <w:rsid w:val="009C7D9B"/>
    <w:rsid w:val="009E736E"/>
    <w:rsid w:val="00A543C9"/>
    <w:rsid w:val="00A8799D"/>
    <w:rsid w:val="00AA1018"/>
    <w:rsid w:val="00AB2465"/>
    <w:rsid w:val="00AB6AC5"/>
    <w:rsid w:val="00AE44DC"/>
    <w:rsid w:val="00AF5D8D"/>
    <w:rsid w:val="00B54900"/>
    <w:rsid w:val="00B54D9B"/>
    <w:rsid w:val="00B93589"/>
    <w:rsid w:val="00B96DD7"/>
    <w:rsid w:val="00C023A7"/>
    <w:rsid w:val="00C25588"/>
    <w:rsid w:val="00C264AC"/>
    <w:rsid w:val="00C351F6"/>
    <w:rsid w:val="00C40C12"/>
    <w:rsid w:val="00C47191"/>
    <w:rsid w:val="00C75CFF"/>
    <w:rsid w:val="00C82F76"/>
    <w:rsid w:val="00CC5938"/>
    <w:rsid w:val="00CF7636"/>
    <w:rsid w:val="00D02D1E"/>
    <w:rsid w:val="00D2752E"/>
    <w:rsid w:val="00D86448"/>
    <w:rsid w:val="00DC3A8F"/>
    <w:rsid w:val="00DD4A74"/>
    <w:rsid w:val="00DE106D"/>
    <w:rsid w:val="00DE3D5B"/>
    <w:rsid w:val="00DE5E14"/>
    <w:rsid w:val="00E3006B"/>
    <w:rsid w:val="00ED15D2"/>
    <w:rsid w:val="00EE150D"/>
    <w:rsid w:val="00F253FD"/>
    <w:rsid w:val="00F30846"/>
    <w:rsid w:val="00F73299"/>
    <w:rsid w:val="00F805BF"/>
    <w:rsid w:val="00F94C86"/>
    <w:rsid w:val="00FD320E"/>
    <w:rsid w:val="1290540A"/>
    <w:rsid w:val="47C05345"/>
    <w:rsid w:val="47FF6241"/>
    <w:rsid w:val="51052785"/>
    <w:rsid w:val="6DEE143D"/>
    <w:rsid w:val="7454AAA1"/>
    <w:rsid w:val="7D56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01092"/>
  <w15:chartTrackingRefBased/>
  <w15:docId w15:val="{1D58F659-C4C5-9347-A72C-AAE890C6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3274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274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6932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9327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693274"/>
    <w:rPr>
      <w:rFonts w:ascii="Times New Roman" w:hAnsi="Times New Roman" w:eastAsia="Times New Roman" w:cs="Times New Roman"/>
    </w:rPr>
  </w:style>
  <w:style w:type="character" w:styleId="A7" w:customStyle="1">
    <w:name w:val="A7"/>
    <w:uiPriority w:val="99"/>
    <w:rsid w:val="00C40C12"/>
    <w:rPr>
      <w:color w:val="211D1E"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pbis.org/resource/pbis-cultural-responsiveness-field-guide-resources-for-trainers-and-coaches" TargetMode="External" Id="Rce4f04e89f5342d2" /><Relationship Type="http://schemas.openxmlformats.org/officeDocument/2006/relationships/image" Target="/media/image3.png" Id="R7c12b12d17424b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7" ma:contentTypeDescription="Create a new document." ma:contentTypeScope="" ma:versionID="b5e5ea25d03f1bd8b5e0059cb678326f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6dc4f3ce507533e0f581d08dac4ff33f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C5FB6-39BF-4566-BE27-024CD7CB8F5B}"/>
</file>

<file path=customXml/itemProps2.xml><?xml version="1.0" encoding="utf-8"?>
<ds:datastoreItem xmlns:ds="http://schemas.openxmlformats.org/officeDocument/2006/customXml" ds:itemID="{FA3189B1-55DA-4DC0-8DEB-7A2C3219E41D}"/>
</file>

<file path=customXml/itemProps3.xml><?xml version="1.0" encoding="utf-8"?>
<ds:datastoreItem xmlns:ds="http://schemas.openxmlformats.org/officeDocument/2006/customXml" ds:itemID="{CF1240F9-84A4-494B-97B7-DD679228B5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Meyer, Katherine</dc:creator>
  <keywords/>
  <dc:description/>
  <lastModifiedBy>Feinberg, Adam</lastModifiedBy>
  <revision>2</revision>
  <dcterms:created xsi:type="dcterms:W3CDTF">2020-12-04T14:19:00.0000000Z</dcterms:created>
  <dcterms:modified xsi:type="dcterms:W3CDTF">2020-12-04T19:41:22.8590069Z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